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4917440</wp:posOffset>
            </wp:positionH>
            <wp:positionV relativeFrom="paragraph">
              <wp:posOffset>-530224</wp:posOffset>
            </wp:positionV>
            <wp:extent cx="1722120" cy="67437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2120" cy="674370"/>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Biedrības “Adventure Therapy Latvia” statūti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Biedrības nosaukums</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nosaukums ir “Adventure Therapy Latvia” (turpmāk - Biedrība).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Biedrības misija, mērķi un uzdevumi</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misija ir veicināt sabiedrības emocionālo un fizisko labsajūtu un psiho-sociālo funkcionēšanu, pielietojot piedzīvojumu terapijā balstītu praksi.</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mērķi:</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veicināt piedzīvojumu terapijas attīstību un atpazīstamību Latvijā;</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attīstīt piedzīvojumu terapijas speciālista profesiju Latvijā;</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radīt un uzturēt starpdisciplināru profesionāļu platformu piedzīvojumu terapijas programmu izveidei un nodrošināšanai;</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veicināt biedru profesionālās izglītības un kvalifikācijas paaugstināšanos;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aizstāvēt savu biedru profesionālās intereses;</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radīt un uzturēt piedzīvojumu terapijas labās prakses principus, kas tiek ievēroti Latvijā;</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pārstāvēt piedzīvojumu terapijas speciālistu intereses dažādās organizācijās (tai skaitā starptautiskās);</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rūpēties par sabiedrības (bērnu, pusaudžu, pieaugušo, senioru) veselības veicināšanu, nostiprināšanu, saglabāšanu un atgūšanu.</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uzdevumi:</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radīt iespējas interesentiem pievienoties Biedrībā un apgūt nepieciešamās zināšanas, prasmes un kompetences piedzīvojumu terapijas praktizēšanai;</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organizēt biedru zināšanu, prasmju un kompetenču paaugstināšanas pasākumus;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radīt un īstenot piedzīvojumu terapijas programmas dažādu sabiedrības grupu veselības veicināšanai, nostiprināšanai, saglabāšanai, atgūšanai;</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popularizēt piedzīvojumu terapiju un informēt sabiedrību par Biedrības un tās biedru aktivitātēm, kas tiešā veidā saistītas ar piedzīvojumu terapiju;</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nodarboties ar biedriem aktuāliem profesionāliem un organizatoriskiem jautājumiem;</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izstrādāt ieteikumus un projektus saistībā ar piedzīvojumu terapiju, lai veicinātu biedru pienesumu sabiedrības veselībā;</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rūpēties par labās prakses standartu un ētikas normu ievērošanu piedzīvojumu terapijas praksēs;</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veicināt biedru savstarpējo sadarbību;</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nepieciešamības gadījumos iesaistīties biedru savstarpējo domstarpību un konfliktu risināšanā profesionālo jautājumu ietvaros;</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informēt biedrus par jaunumiem piedzīvojumu terapijas jomā Latvijā un pasaulē.</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 atbalsta un sadarbojas ar organizācijām, masu informācijas līdzekļiem un citām juridiskām un fiziskām personām, kuras sekmē Biedrības mērķu īstenošanu.</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Paredzēto mērķu sasniegšanai Biedrībai ir tiesības veikt publisku darbību, kas nav pretrunā ar spēkā esošajiem normatīvajiem aktiem. Šajā nolūkā Biedrība ir tiesīga:</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brīvi izplatīt informāciju par savu darbību;</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izveidot savus izdevumus un citus masu informācijas līdzekļus;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organizēt mītiņus, demonstrācijas, ielu gājienus un sapulces publiskās vietās atbilstoši likumam;</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uzturēt sakarus ar citu valstu sabiedriskajām organizācijām, to apvienībām un struktūrvienībām;</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veicināt un ietekmēt politiskos procesus valstī;</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organizēt un piedalīties dažādos projektos;</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veikt citu publisku darbību.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Biedrības darbības termiņš</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 ir nodibināta uz nenoteiktu laiku.</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Biedru iestāšanās, izstāšanās un izslēgšana no Biedrības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Biedrībā var iestāties juridiska persona vai fiziska persona, kas ir saimnieciskās darbības veicēja, (turpmāk – biedrs), iesniedzot noteiktas formas rakstisku pieteikumu un saņemot uzņemšanas rekomendācijas no vismaz 2 esošām Biedrības dalīborganizācijām. Pieteikuma formu un tam klāt pievienojamo dokumentu sarakstu nosaka Biedrības valde. </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Biedrībā biedri deleģē savus pārstāvjus, kas ir noteiktas fiziskas personas, kuras apliecinājušas savas ar piedzīvojumu terapiju saistītās zināšanas, prasmes un kompetences. Veidu, kādā biedru pārstāvji var apliecināt savas zināšanas, prasmes un kompetences nosaka Biedru sapulcē.</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Gadījumā, ja potenciālais biedrs neatbilst kādai no punktos 4.1 un 4.2. izvirzītajām prasībām, Biedrības valde var pieņemt lēmumu piešķirt statusu Biedra kandidāts uz termiņu līdz 1gadam un uzņemt Biedrībā ar Biedra tiesībām un pienākumiem, izņemot punktus 5.1.1. Balsot/vēlēt, 5.1.2. Vadīt/radīt programmas, 5.1.3. Piedalīties biedrības pārvaldē, 5.1.11. Pārstāvot Biedrību, iesaistīties dažādos projektos, un publiski uzstāties.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Biedra kandidāts nevar pretendēt uz Valdes locekļa, Valdes priekšsēdētāja un Revidenta amatiem.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Biedrībā var iestāties, ja Biedru sapulcē ir lemts par jaunu biedru uzņemšanu, nosakot jauno biedru skaitu.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Lēmumu par biedra un tā pārstāvja  potenciālu uzņemšanu Biedrībā pieņem valde tuvākās sēdes laikā, taču ne ilgāk kā mēnesi no visu nepieciešamo dokumentu saņemšanas brīža. Valdei lēmums pieteicējam jāpaziņo ne vēlāk kā nedēļas laikā no lēmuma pieņemšanas brīža.</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var jebkurā laikā izstāties no Biedrības, rakstveidā paziņojot par to valdei.</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var izslēgt no Biedrības ar valdes lēmumu, ja: </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vairāk kā 3 mēnešus nav nomaksājusi biedra naudu;</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nepilda Biedru sapulces un valdes lēmumus;</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nepilda savus pienākumus un uzņemtās saistības;</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neievēro ētikas un morāles normas, pārkāpj piedzīvojumu terapijas labās prakses principus;</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biedrs veic citu darbību, kas ir pretrunā ar šajos statūtos noteikto.</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Jautājumu par Biedrības biedra izslēgšanu valde izskata tuvākās sēdes laikā, uzaicinot izslēdzamo biedru un dodot viņam vārdu sava viedokļa paušanai. Izslēdzamā biedra neierašanās nav šķērslis valdes lēmuma pieņemšanai. Valdei lēmums par biedra izslēgšanu no Biedrības un šā lēmuma motivācija jāpaziņo rakstveidā izslēdzamajam biedram piecu dienu laikā no tā pieņemšanas brīža.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Biedru tiesības un pienākumi</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biedriem ir šādas tiesības:</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Balsot/vēlēt</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Vadīt/radīt programmas</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piedalīties Biedrības pārvaldē,</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saņemt informāciju par Biedrības darbību, tai skaitā iepazīties ar visu Biedrības institūciju protokoliem, lēmumiem un rīkojumiem pēc pieprasījuma;</w:t>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piedalīties visos Biedrības organizētajos pasākumos, iesniegt priekšlikumus par Biedrības darbību un tās uzlabošanu, aizstāvēt savu viedokli;</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organizēt un piedalīties diskusijās un apspriedēs profesionālo uzdevumu labākai veikšanai;</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piedalīties Biedrības organizēto darba grupu darbā;</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lūgt palīdzību profesionālo konfliktu risināšanā;</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publicēt informāciju par profesionālo darbību Biedrības izdevumos;</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saņemt informāciju par Biedrības darbību;</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pārstāvot Biedrību, iesaistīties dažādos projektos, un publiski uzstāties.</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biedru pienākumi:</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ievērot Biedrības statūtus un pildīt biedru sapulces un valdes lēmumus; </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regulāri maksāt biedra naudu;</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savu aktīvu līdzdarbību atbalstīt Biedrības mērķa un uzdevumu realizēšanu;</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augsti turēt Biedrības godu, nepieļaut rīcību, kas grauj Biedrības prestižu sabiedrībā.</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Saistības biedram var noteikt ar biedru sapulces vai valdes lēmumu. Nosakot biedram saistības, kas atšķiras no citu biedru saistībām, ir nepieciešama šā biedra piekrišana.</w:t>
      </w:r>
    </w:p>
    <w:p w:rsidR="00000000" w:rsidDel="00000000" w:rsidP="00000000" w:rsidRDefault="00000000" w:rsidRPr="00000000" w14:paraId="00000053">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Biedrības struktūrvienības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biedru sapulces lēmumu var tikt izveidotas Biedrības teritoriālās un citas struktūrvienības;</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Struktūrvienības darbību, tiesības un pienākumus, kā arī attiecības ar Biedrību regulē struktūrvienības nolikums, ko apstiprina Biedrības biedru sapulce.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Biedru sapulces sasaukšana un lēmumu pieņemšana</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sapulce ir augstākā Biedrības lēmējinstitūcija.</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sapulcē ir tiesīgi piedalīties visi Biedrības biedri.  Biedru sapulcē biedru reprezentē tā izvēlēts pārstāvis, savu balsi var deleģēt citam arī biedram.</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Kārtējā biedru sapulce tiek sasaukta vienu reizi gadā, ne vēlāk kā līdz 17. martam, tā var norisināties gan klātienē, gan attālināti</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Ārkārtas biedru sapulce var tikt sasaukta pēc valdes iniciatīvas, vai ja to pieprasa vismaz 2 dalīborganizācijas. </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sapulce tiek sasaukta, ne vēlāk kā divas nedēļas pirms sapulces, nosūtot katram biedram rakstisku uzaicinājumu.</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sapulce ir lemttiesīga, ja tajā ir pārstāvēti vairāk nekā puse no biedriem. </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Ja biedru sapulce nav lemttiesīga kvoruma trūkuma dēļ, piecu nedēļu laikā tiek sasaukta atkārtota biedru sapulce, kas ir tiesīga pieņemt lēmumus neatkarīgi no klātesošo  biedru skaita, ar nosacījumu, ka tajā piedalās vismaz divas dalīborganizācijas.</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sapulces lēmums ir pieņemts, ja par to nobalso vairāk nekā divas trešdaļas no klātesošajiem biedru pārstāvjiem.</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8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Izpildinstitūcija</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izpildinstitūcija ir valde, kas sastāv no pieciem  valdes locekļiem.</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darbība ir vērsta uz Biedrības mērķu sasniegšanu.</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valdes locekļus apstiprina Biedru sapulce uz vienu gadu.</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locekļi no sava vidus ievēlē valdes priekšsēdētāju, kurš organizē valdes darbu.</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 ir tiesīga izlemt visus jautājumus, kas nav ekskluzīvā biedru sapulces kompetencē.</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locekļi ir tiesīgi pārstāvēt Biedrību katrs atsevišķi.</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loceklis pilda savus pienākumus bez atlīdzības, ja vien biedru sapulcē nav lemts citādāk.</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uzdevumi:</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sagatavot statūtu izmaiņu grozījumu projektus;</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izstrādāt nolikumus, līgumus un instrukcijas, kas reglamentē Biedrības struktūrvienību darbību;</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rīkoties ar Biedrības līdzekļiem un pārvaldīt kustamo un nekustamo īpašumu biedru sapulces noteiktajās robežās, risināt saimnieciskos, administratīvos un finansiālos jautājumus;</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lemt par dalīborganizāciju un biedru uzņemšanu un izslēgšanu no Biedrības;</w:t>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noteikt Biedrības atalgoto darbinieku nomenklatūru un nosaka atalgojumu atbilstoši biedru sapulcē noteiktajam finanšu daudzumam;</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izpildīt biedru sapulču lēmumus;</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sniegt biedru sapulcei ziņojumus par savu darbību;</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veidot darba grupas atsevišķu jautājumu risināšanai, vajadzības gadījumā piesaistot kvalificētus speciālistus;</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veikt attālināto biedru sapulču video fiksāciju, biedru identifikāciju un datu uzglabāšanu;</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izlemt citus jautājumus, ko biedru sapulce pilnvarojusi veikt valdei.</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Valdes sapulces tiek sasauktas pēc nepieciešamības. Valde ir lemttiesīga, ja tās sapulcē piedalās vairāk kā puse no valdes locekļiem. Lēmumi tiek pieņemti uz vienošanās pamata vai, ja tā nav iespējama, ar vienkāršu balsu vairākumu.</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9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Steidzami risināmus jautājumus valde drīkst pieņemt elektroniski vienojoties vai veicot balsojumu ārpus valdes sapulces. Šādā gadījumā pieņemtais lēmums tiek atspoguļots nākamās valdes sapulces protokolā.</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9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Valde var deleģēt pārstāvjus no biedru vidus Biedrības pārstāvniecībai dažādās citās sadarbības institūcijās.</w:t>
      </w:r>
    </w:p>
    <w:p w:rsidR="00000000" w:rsidDel="00000000" w:rsidP="00000000" w:rsidRDefault="00000000" w:rsidRPr="00000000" w14:paraId="0000007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Revidents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finansiālās un saimnieciskās darbības kontroli veic revidents, kuru ievēl biedru sapulce uz vienu gadu.</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Biedrības revidents nevar būt Biedrības valdes loceklis.</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Revidents:</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veic Biedrības mantas un finanšu līdzekļu revīziju; </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dod atzinumu par Biedrības budžetu un gada pārskatu;</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izvērtē Biedrības grāmatvedības un lietvedības darbu;</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sniedz ieteikumus par Biedrības finanšu un saimnieciskās darbības uzlabošanu.</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Revidents veic revīziju biedru sapulces noteiktajos termiņos, taču ne retāk kā reizi gadā.</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2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Biedru sapulce apstiprina Biedrības gada pārskatu tikai pēc Revidenta atzinuma saņemšanas.</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Biedru nauda</w:t>
      </w:r>
    </w:p>
    <w:p w:rsidR="00000000" w:rsidDel="00000000" w:rsidP="00000000" w:rsidRDefault="00000000" w:rsidRPr="00000000" w14:paraId="0000008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80" w:right="0" w:hanging="49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Biedrības dalīborganizācijas maksā biedru naudu vienu reizi gadā biedru sapulcē noteiktajā apmērā.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Statūti apstiprināti biedru sapulcē 02.03.2023.</w:t>
      </w:r>
    </w:p>
    <w:p w:rsidR="00000000" w:rsidDel="00000000" w:rsidP="00000000" w:rsidRDefault="00000000" w:rsidRPr="00000000" w14:paraId="0000008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Kristīne Vilcāne, valdes locekle</w:t>
      </w:r>
    </w:p>
    <w:p w:rsidR="00000000" w:rsidDel="00000000" w:rsidP="00000000" w:rsidRDefault="00000000" w:rsidRPr="00000000" w14:paraId="0000008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(parakstīts elektroniski)</w:t>
      </w:r>
    </w:p>
    <w:sectPr>
      <w:headerReference r:id="rId8" w:type="default"/>
      <w:footerReference r:id="rId9" w:type="default"/>
      <w:pgSz w:h="16838" w:w="11906" w:orient="portrait"/>
      <w:pgMar w:bottom="709" w:top="993" w:left="1134" w:right="991" w:header="708" w:footer="3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left" w:leader="none" w:pos="6548"/>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0" w:hanging="4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lv-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arasts" w:default="1">
    <w:name w:val="Normal"/>
    <w:qFormat w:val="1"/>
    <w:rsid w:val="008244F7"/>
    <w:rPr>
      <w:rFonts w:ascii="Calibri" w:cs="Times New Roman" w:eastAsia="Calibri" w:hAnsi="Calibri"/>
      <w:sz w:val="28"/>
      <w:szCs w:val="28"/>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paragraph" w:styleId="Kjene">
    <w:name w:val="footer"/>
    <w:basedOn w:val="Parasts"/>
    <w:link w:val="KjeneRakstz"/>
    <w:uiPriority w:val="99"/>
    <w:unhideWhenUsed w:val="1"/>
    <w:rsid w:val="009938D2"/>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9938D2"/>
    <w:rPr>
      <w:rFonts w:ascii="Calibri" w:cs="Times New Roman" w:eastAsia="Calibri" w:hAnsi="Calibri"/>
      <w:sz w:val="28"/>
      <w:szCs w:val="28"/>
    </w:rPr>
  </w:style>
  <w:style w:type="paragraph" w:styleId="WW-BodyText2" w:customStyle="1">
    <w:name w:val="WW-Body Text 2"/>
    <w:basedOn w:val="Parasts"/>
    <w:rsid w:val="009938D2"/>
    <w:pPr>
      <w:suppressAutoHyphens w:val="1"/>
      <w:spacing w:after="0" w:line="240" w:lineRule="auto"/>
      <w:jc w:val="both"/>
    </w:pPr>
    <w:rPr>
      <w:rFonts w:ascii="RimGaramond" w:eastAsia="Times New Roman" w:hAnsi="RimGaramond"/>
      <w:i w:val="1"/>
      <w:sz w:val="24"/>
      <w:szCs w:val="20"/>
      <w:lang w:eastAsia="ar-SA" w:val="en-GB"/>
    </w:rPr>
  </w:style>
  <w:style w:type="paragraph" w:styleId="WW-NormalWeb" w:customStyle="1">
    <w:name w:val="WW-Normal (Web)"/>
    <w:basedOn w:val="Parasts"/>
    <w:rsid w:val="009938D2"/>
    <w:pPr>
      <w:suppressAutoHyphens w:val="1"/>
      <w:spacing w:after="0" w:line="240" w:lineRule="auto"/>
    </w:pPr>
    <w:rPr>
      <w:rFonts w:ascii="Times New Roman" w:eastAsia="Times New Roman" w:hAnsi="Times New Roman"/>
      <w:sz w:val="24"/>
      <w:szCs w:val="24"/>
      <w:lang w:eastAsia="ar-SA" w:val="en-GB"/>
    </w:rPr>
  </w:style>
  <w:style w:type="paragraph" w:styleId="Galvene">
    <w:name w:val="header"/>
    <w:basedOn w:val="Parasts"/>
    <w:link w:val="GalveneRakstz"/>
    <w:uiPriority w:val="99"/>
    <w:unhideWhenUsed w:val="1"/>
    <w:rsid w:val="009938D2"/>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9938D2"/>
    <w:rPr>
      <w:rFonts w:ascii="Calibri" w:cs="Times New Roman" w:eastAsia="Calibri" w:hAnsi="Calibri"/>
      <w:sz w:val="28"/>
      <w:szCs w:val="28"/>
    </w:rPr>
  </w:style>
  <w:style w:type="paragraph" w:styleId="Sarakstarindkopa">
    <w:name w:val="List Paragraph"/>
    <w:basedOn w:val="Parasts"/>
    <w:uiPriority w:val="34"/>
    <w:qFormat w:val="1"/>
    <w:rsid w:val="00C430E9"/>
    <w:pPr>
      <w:ind w:left="720"/>
      <w:contextualSpacing w:val="1"/>
    </w:pPr>
  </w:style>
  <w:style w:type="paragraph" w:styleId="Prskatjums">
    <w:name w:val="Revision"/>
    <w:hidden w:val="1"/>
    <w:uiPriority w:val="99"/>
    <w:semiHidden w:val="1"/>
    <w:rsid w:val="00692223"/>
    <w:pPr>
      <w:spacing w:after="0" w:line="240" w:lineRule="auto"/>
    </w:pPr>
    <w:rPr>
      <w:rFonts w:ascii="Calibri" w:cs="Times New Roman" w:eastAsia="Calibri" w:hAnsi="Calibri"/>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e+TK4Br6ZcXCmYsNGQw6eAS5A==">CgMxLjA4AHIhMS01RGR5Mm9kSFJWQ1M3SFgzM21BRWZYdlducGViaFJu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2022-03-22T08:24:00Z</dcterms:created>
  <dc:creator>unda avota</dc:creator>
</cp:coreProperties>
</file>